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C493" w14:textId="3400D8DE" w:rsidR="00877CF8" w:rsidRPr="00694CC7" w:rsidRDefault="00877CF8" w:rsidP="00343D1F">
      <w:pPr>
        <w:jc w:val="both"/>
        <w:rPr>
          <w:rFonts w:eastAsia="Times New Roman"/>
          <w:color w:val="000000" w:themeColor="text1"/>
          <w:lang w:val="es-MX"/>
        </w:rPr>
      </w:pPr>
      <w:r w:rsidRPr="00694CC7">
        <w:rPr>
          <w:rFonts w:eastAsia="Times New Roman"/>
          <w:color w:val="000000" w:themeColor="text1"/>
          <w:lang w:val="es-MX"/>
        </w:rPr>
        <w:t>Bienvenido</w:t>
      </w:r>
      <w:r w:rsidR="002B3980" w:rsidRPr="00694CC7">
        <w:rPr>
          <w:rFonts w:eastAsia="Times New Roman"/>
          <w:color w:val="000000" w:themeColor="text1"/>
          <w:lang w:val="es-MX"/>
        </w:rPr>
        <w:t>s</w:t>
      </w:r>
      <w:r w:rsidRPr="00694CC7">
        <w:rPr>
          <w:rFonts w:eastAsia="Times New Roman"/>
          <w:color w:val="000000" w:themeColor="text1"/>
          <w:lang w:val="es-MX"/>
        </w:rPr>
        <w:t xml:space="preserve"> a la descripción general de los informes del curador y los requisitos de fianza del Tribunal de Nuevo México</w:t>
      </w:r>
      <w:r w:rsidR="002B3980" w:rsidRPr="00694CC7">
        <w:rPr>
          <w:rFonts w:eastAsia="Times New Roman"/>
          <w:color w:val="000000" w:themeColor="text1"/>
          <w:lang w:val="es-MX"/>
        </w:rPr>
        <w:t>.</w:t>
      </w:r>
    </w:p>
    <w:p w14:paraId="170C9A23" w14:textId="77777777" w:rsidR="00877CF8" w:rsidRPr="00694CC7" w:rsidRDefault="00877CF8" w:rsidP="00343D1F">
      <w:pPr>
        <w:jc w:val="both"/>
        <w:rPr>
          <w:lang w:val="es-MX"/>
        </w:rPr>
      </w:pPr>
    </w:p>
    <w:p w14:paraId="7D3B0C66" w14:textId="0EBC6910" w:rsidR="000E00F0" w:rsidRPr="00694CC7" w:rsidRDefault="00451DC6" w:rsidP="00343D1F">
      <w:pPr>
        <w:jc w:val="both"/>
        <w:rPr>
          <w:lang w:val="es-MX"/>
        </w:rPr>
      </w:pPr>
      <w:r w:rsidRPr="00694CC7">
        <w:rPr>
          <w:lang w:val="es-MX"/>
        </w:rPr>
        <w:t>En este video analizaremos brevemente los tres tipos diferentes de informes del curador y su deber de presentar estos informes al tribunal. Para obtener información más detallada, vea</w:t>
      </w:r>
      <w:r w:rsidR="002B3980" w:rsidRPr="00694CC7">
        <w:rPr>
          <w:lang w:val="es-MX"/>
        </w:rPr>
        <w:t xml:space="preserve"> los videos</w:t>
      </w:r>
      <w:r w:rsidR="009642BD" w:rsidRPr="00694CC7">
        <w:rPr>
          <w:lang w:val="es-MX"/>
        </w:rPr>
        <w:t xml:space="preserve"> </w:t>
      </w:r>
      <w:r w:rsidR="009642BD" w:rsidRPr="00694CC7">
        <w:rPr>
          <w:i/>
          <w:iCs/>
          <w:lang w:val="es-MX"/>
        </w:rPr>
        <w:t>“</w:t>
      </w:r>
      <w:r w:rsidRPr="00694CC7">
        <w:rPr>
          <w:i/>
          <w:iCs/>
          <w:lang w:val="es-MX"/>
        </w:rPr>
        <w:t>Cómo llenar el formulario del inventario del curador</w:t>
      </w:r>
      <w:r w:rsidR="00343D1F" w:rsidRPr="00694CC7">
        <w:rPr>
          <w:i/>
          <w:iCs/>
          <w:lang w:val="es-MX"/>
        </w:rPr>
        <w:t>”</w:t>
      </w:r>
      <w:r w:rsidRPr="00694CC7">
        <w:rPr>
          <w:i/>
          <w:iCs/>
          <w:lang w:val="es-MX"/>
        </w:rPr>
        <w:t xml:space="preserve"> y </w:t>
      </w:r>
      <w:r w:rsidR="00343D1F" w:rsidRPr="00694CC7">
        <w:rPr>
          <w:i/>
          <w:iCs/>
          <w:lang w:val="es-MX"/>
        </w:rPr>
        <w:t>“</w:t>
      </w:r>
      <w:r w:rsidRPr="00694CC7">
        <w:rPr>
          <w:i/>
          <w:iCs/>
          <w:lang w:val="es-MX"/>
        </w:rPr>
        <w:t>Cómo llenar el informe del curador</w:t>
      </w:r>
      <w:r w:rsidR="00343D1F" w:rsidRPr="00694CC7">
        <w:rPr>
          <w:i/>
          <w:iCs/>
          <w:lang w:val="es-MX"/>
        </w:rPr>
        <w:t>”</w:t>
      </w:r>
      <w:r w:rsidRPr="00694CC7">
        <w:rPr>
          <w:lang w:val="es-MX"/>
        </w:rPr>
        <w:t>.</w:t>
      </w:r>
    </w:p>
    <w:p w14:paraId="08431185" w14:textId="77777777" w:rsidR="000E00F0" w:rsidRPr="00694CC7" w:rsidRDefault="000E00F0" w:rsidP="00343D1F">
      <w:pPr>
        <w:jc w:val="both"/>
        <w:rPr>
          <w:b/>
          <w:bCs/>
          <w:iCs/>
          <w:lang w:val="es-MX"/>
        </w:rPr>
      </w:pPr>
    </w:p>
    <w:p w14:paraId="523FA15D" w14:textId="61FF3951" w:rsidR="000E00F0" w:rsidRPr="00694CC7" w:rsidRDefault="005D373A" w:rsidP="00343D1F">
      <w:pPr>
        <w:jc w:val="both"/>
        <w:rPr>
          <w:b/>
          <w:bCs/>
          <w:iCs/>
          <w:lang w:val="es-MX"/>
        </w:rPr>
      </w:pPr>
      <w:r w:rsidRPr="00694CC7">
        <w:rPr>
          <w:b/>
          <w:bCs/>
          <w:lang w:val="es-MX"/>
        </w:rPr>
        <w:t>¿QUÉ SON LOS INFORMES DEL CURADOR?</w:t>
      </w:r>
    </w:p>
    <w:p w14:paraId="5BD29725" w14:textId="77777777" w:rsidR="002821D5" w:rsidRPr="00694CC7" w:rsidRDefault="002821D5" w:rsidP="00343D1F">
      <w:pPr>
        <w:jc w:val="both"/>
        <w:rPr>
          <w:lang w:val="es-MX"/>
        </w:rPr>
      </w:pPr>
    </w:p>
    <w:p w14:paraId="1E972635" w14:textId="5314C99C" w:rsidR="00451DC6" w:rsidRPr="00694CC7" w:rsidRDefault="00B630FF" w:rsidP="00343D1F">
      <w:pPr>
        <w:jc w:val="both"/>
        <w:rPr>
          <w:lang w:val="es-MX"/>
        </w:rPr>
      </w:pPr>
      <w:r w:rsidRPr="00694CC7">
        <w:rPr>
          <w:color w:val="000000" w:themeColor="text1"/>
          <w:lang w:val="es-MX"/>
        </w:rPr>
        <w:t>Los informes del curador le informan al juez la situación de las finanzas, las inversiones y los bienes de la persona protegida, y cómo está desempeñando usted sus funciones de curador.</w:t>
      </w:r>
      <w:r w:rsidRPr="00694CC7">
        <w:rPr>
          <w:lang w:val="es-MX"/>
        </w:rPr>
        <w:t xml:space="preserve"> La presentación de estos informes es una de sus responsabilidades más importantes.</w:t>
      </w:r>
    </w:p>
    <w:p w14:paraId="60327ED8" w14:textId="77777777" w:rsidR="009242A0" w:rsidRPr="00694CC7" w:rsidRDefault="009242A0" w:rsidP="00343D1F">
      <w:pPr>
        <w:jc w:val="both"/>
        <w:rPr>
          <w:lang w:val="es-MX"/>
        </w:rPr>
      </w:pPr>
    </w:p>
    <w:p w14:paraId="2F6CB68E" w14:textId="142F7312" w:rsidR="009242A0" w:rsidRPr="00694CC7" w:rsidRDefault="009242A0" w:rsidP="00343D1F">
      <w:pPr>
        <w:jc w:val="both"/>
        <w:rPr>
          <w:rFonts w:eastAsia="Calibri"/>
          <w:lang w:val="es-MX"/>
        </w:rPr>
      </w:pPr>
      <w:r w:rsidRPr="00694CC7">
        <w:rPr>
          <w:rFonts w:eastAsia="Calibri"/>
          <w:lang w:val="es-MX"/>
        </w:rPr>
        <w:t xml:space="preserve">Hay tres tipos diferentes de informes que un curador debe presentar: el </w:t>
      </w:r>
      <w:r w:rsidR="00A73208" w:rsidRPr="00694CC7">
        <w:rPr>
          <w:rFonts w:eastAsia="Calibri"/>
          <w:lang w:val="es-MX"/>
        </w:rPr>
        <w:t>i</w:t>
      </w:r>
      <w:r w:rsidRPr="00694CC7">
        <w:rPr>
          <w:rFonts w:eastAsia="Calibri"/>
          <w:lang w:val="es-MX"/>
        </w:rPr>
        <w:t>nventario del curador, el informe del curador y el informe final.</w:t>
      </w:r>
    </w:p>
    <w:p w14:paraId="38FD3FC2" w14:textId="77777777" w:rsidR="002821D5" w:rsidRPr="00694CC7" w:rsidRDefault="002821D5" w:rsidP="00343D1F">
      <w:pPr>
        <w:jc w:val="both"/>
        <w:rPr>
          <w:rFonts w:eastAsia="Calibri"/>
          <w:lang w:val="es-MX"/>
        </w:rPr>
      </w:pPr>
    </w:p>
    <w:p w14:paraId="78A4354F" w14:textId="1C71E99B" w:rsidR="009242A0" w:rsidRPr="00694CC7" w:rsidRDefault="009242A0" w:rsidP="00343D1F">
      <w:pPr>
        <w:contextualSpacing/>
        <w:jc w:val="both"/>
        <w:rPr>
          <w:rFonts w:eastAsia="Calibri"/>
          <w:lang w:val="es-MX"/>
        </w:rPr>
      </w:pPr>
      <w:r w:rsidRPr="00694CC7">
        <w:rPr>
          <w:lang w:val="es-MX"/>
        </w:rPr>
        <w:t>El inventario del curador es el formulario 4-997. Es una instantánea detallada y única de las finanzas de la persona protegida en el momento en que usted fue nombrado curador. Debe presentarse en un plazo de 90 días posteriores a la fecha en que</w:t>
      </w:r>
      <w:bookmarkStart w:id="0" w:name="_GoBack"/>
      <w:bookmarkEnd w:id="0"/>
      <w:r w:rsidRPr="00694CC7">
        <w:rPr>
          <w:lang w:val="es-MX"/>
        </w:rPr>
        <w:t xml:space="preserve"> usted recibió el nombramiento. Por ejemplo, si se le nombró curador el 1 de marzo, el inventario del curador deberá presentarse el 30 de mayo. El inventario del curador solo debe presentarse </w:t>
      </w:r>
      <w:r w:rsidRPr="00694CC7">
        <w:rPr>
          <w:i/>
          <w:iCs/>
          <w:lang w:val="es-MX"/>
        </w:rPr>
        <w:t>una</w:t>
      </w:r>
      <w:r w:rsidRPr="00694CC7">
        <w:rPr>
          <w:lang w:val="es-MX"/>
        </w:rPr>
        <w:t xml:space="preserve"> vez.  </w:t>
      </w:r>
    </w:p>
    <w:p w14:paraId="7843689F" w14:textId="77777777" w:rsidR="00E47416" w:rsidRPr="00694CC7" w:rsidRDefault="00E47416" w:rsidP="00343D1F">
      <w:pPr>
        <w:contextualSpacing/>
        <w:jc w:val="both"/>
        <w:rPr>
          <w:rFonts w:eastAsia="Calibri"/>
          <w:lang w:val="es-MX"/>
        </w:rPr>
      </w:pPr>
    </w:p>
    <w:p w14:paraId="4E9E073B" w14:textId="6D2FE3A2" w:rsidR="009242A0" w:rsidRPr="00694CC7" w:rsidRDefault="00E47416" w:rsidP="00343D1F">
      <w:pPr>
        <w:contextualSpacing/>
        <w:jc w:val="both"/>
        <w:rPr>
          <w:rFonts w:eastAsia="Calibri"/>
          <w:lang w:val="es-MX"/>
        </w:rPr>
      </w:pPr>
      <w:r w:rsidRPr="00694CC7">
        <w:rPr>
          <w:lang w:val="es-MX"/>
        </w:rPr>
        <w:t xml:space="preserve">El informe del curador es el formulario 4-998. El informe del curador debe presentarse </w:t>
      </w:r>
      <w:r w:rsidRPr="00694CC7">
        <w:rPr>
          <w:i/>
          <w:iCs/>
          <w:lang w:val="es-MX"/>
        </w:rPr>
        <w:t>cada año</w:t>
      </w:r>
      <w:r w:rsidRPr="00694CC7">
        <w:rPr>
          <w:lang w:val="es-MX"/>
        </w:rPr>
        <w:t xml:space="preserve"> para informarle al tribunal cómo está la persona protegida y cómo está desempeñando usted sus funciones de curador. La ley exige que el informe del curador se presente en un plazo de 30 días posteriores al aniversario de su nombramiento. Por ejemplo, si se le nombró curador el 1 de marzo, deberá presentarlo a más tardar el 31 de marzo de </w:t>
      </w:r>
      <w:r w:rsidRPr="00694CC7">
        <w:rPr>
          <w:i/>
          <w:iCs/>
          <w:lang w:val="es-MX"/>
        </w:rPr>
        <w:t>cada año</w:t>
      </w:r>
      <w:r w:rsidRPr="00694CC7">
        <w:rPr>
          <w:lang w:val="es-MX"/>
        </w:rPr>
        <w:t>. Si por alguna razón no puede cumplir con este plazo, asegúrese de notificárselo al juez.</w:t>
      </w:r>
    </w:p>
    <w:p w14:paraId="07A9DFE0" w14:textId="77777777" w:rsidR="00E47416" w:rsidRPr="00694CC7" w:rsidRDefault="00E47416" w:rsidP="00343D1F">
      <w:pPr>
        <w:contextualSpacing/>
        <w:jc w:val="both"/>
        <w:rPr>
          <w:rFonts w:eastAsia="Calibri"/>
          <w:lang w:val="es-MX"/>
        </w:rPr>
      </w:pPr>
    </w:p>
    <w:p w14:paraId="6DC627E2" w14:textId="038B1C0A" w:rsidR="00E47416" w:rsidRPr="00694CC7" w:rsidRDefault="00E47416" w:rsidP="00343D1F">
      <w:pPr>
        <w:jc w:val="both"/>
        <w:rPr>
          <w:color w:val="000000" w:themeColor="text1"/>
          <w:lang w:val="es-MX"/>
        </w:rPr>
      </w:pPr>
      <w:r w:rsidRPr="00694CC7">
        <w:rPr>
          <w:lang w:val="es-MX"/>
        </w:rPr>
        <w:t xml:space="preserve">El informe final se puede encontrar en la página 2 del informe del curador, formulario 4-998. </w:t>
      </w:r>
      <w:r w:rsidRPr="00694CC7">
        <w:rPr>
          <w:color w:val="000000" w:themeColor="text1"/>
          <w:lang w:val="es-MX"/>
        </w:rPr>
        <w:t xml:space="preserve">Solo se presenta </w:t>
      </w:r>
      <w:r w:rsidRPr="00694CC7">
        <w:rPr>
          <w:i/>
          <w:iCs/>
          <w:color w:val="000000" w:themeColor="text1"/>
          <w:lang w:val="es-MX"/>
        </w:rPr>
        <w:t>una vez,</w:t>
      </w:r>
      <w:r w:rsidRPr="00694CC7">
        <w:rPr>
          <w:color w:val="000000" w:themeColor="text1"/>
          <w:lang w:val="es-MX"/>
        </w:rPr>
        <w:t xml:space="preserve"> al ocurrir alguno de los siguientes eventos: </w:t>
      </w:r>
    </w:p>
    <w:p w14:paraId="0ABF6BA0" w14:textId="77777777" w:rsidR="00E47416" w:rsidRPr="00694CC7" w:rsidRDefault="00E47416" w:rsidP="00343D1F">
      <w:pPr>
        <w:jc w:val="both"/>
        <w:rPr>
          <w:color w:val="000000" w:themeColor="text1"/>
          <w:lang w:val="es-MX"/>
        </w:rPr>
      </w:pPr>
    </w:p>
    <w:p w14:paraId="47BF63A3" w14:textId="1E9BE56A" w:rsidR="009242A0" w:rsidRPr="00694CC7" w:rsidRDefault="00E47416" w:rsidP="00343D1F">
      <w:pPr>
        <w:pStyle w:val="ListParagraph"/>
        <w:numPr>
          <w:ilvl w:val="0"/>
          <w:numId w:val="14"/>
        </w:numPr>
        <w:jc w:val="both"/>
        <w:rPr>
          <w:rFonts w:eastAsia="Calibri"/>
        </w:rPr>
      </w:pPr>
      <w:r w:rsidRPr="00694CC7">
        <w:rPr>
          <w:rFonts w:eastAsia="Calibri"/>
          <w:lang w:val="es-MX"/>
        </w:rPr>
        <w:t>La persona protegida</w:t>
      </w:r>
      <w:r w:rsidR="00CA6102" w:rsidRPr="00694CC7">
        <w:rPr>
          <w:rFonts w:eastAsia="Calibri"/>
          <w:lang w:val="es-MX"/>
        </w:rPr>
        <w:t xml:space="preserve"> fallece</w:t>
      </w:r>
      <w:r w:rsidRPr="00694CC7">
        <w:rPr>
          <w:rFonts w:eastAsia="Calibri"/>
          <w:lang w:val="es-MX"/>
        </w:rPr>
        <w:t>;</w:t>
      </w:r>
    </w:p>
    <w:p w14:paraId="145E410E" w14:textId="7577CB5E" w:rsidR="009242A0" w:rsidRPr="00694CC7" w:rsidRDefault="00E47416" w:rsidP="00343D1F">
      <w:pPr>
        <w:pStyle w:val="ListParagraph"/>
        <w:numPr>
          <w:ilvl w:val="0"/>
          <w:numId w:val="14"/>
        </w:numPr>
        <w:jc w:val="both"/>
        <w:rPr>
          <w:rFonts w:eastAsia="Calibri"/>
          <w:lang w:val="es-MX"/>
        </w:rPr>
      </w:pPr>
      <w:r w:rsidRPr="00694CC7">
        <w:rPr>
          <w:rFonts w:eastAsia="Calibri"/>
          <w:lang w:val="es-MX"/>
        </w:rPr>
        <w:t xml:space="preserve">El juez lo destituye como curador; </w:t>
      </w:r>
    </w:p>
    <w:p w14:paraId="7EF26B95" w14:textId="37AD524C" w:rsidR="009242A0" w:rsidRPr="00694CC7" w:rsidRDefault="00E47416" w:rsidP="00343D1F">
      <w:pPr>
        <w:pStyle w:val="ListParagraph"/>
        <w:numPr>
          <w:ilvl w:val="0"/>
          <w:numId w:val="14"/>
        </w:numPr>
        <w:jc w:val="both"/>
        <w:rPr>
          <w:rFonts w:eastAsia="Calibri"/>
          <w:lang w:val="es-MX"/>
        </w:rPr>
      </w:pPr>
      <w:r w:rsidRPr="00694CC7">
        <w:rPr>
          <w:rFonts w:eastAsia="Calibri"/>
          <w:lang w:val="es-MX"/>
        </w:rPr>
        <w:t>El juez designa a otra persona para que funja como curador; o</w:t>
      </w:r>
    </w:p>
    <w:p w14:paraId="3516277E" w14:textId="10091E11" w:rsidR="009242A0" w:rsidRPr="00694CC7" w:rsidRDefault="00E47416" w:rsidP="00343D1F">
      <w:pPr>
        <w:pStyle w:val="ListParagraph"/>
        <w:numPr>
          <w:ilvl w:val="0"/>
          <w:numId w:val="14"/>
        </w:numPr>
        <w:jc w:val="both"/>
        <w:rPr>
          <w:rFonts w:eastAsia="Calibri"/>
          <w:lang w:val="es-MX"/>
        </w:rPr>
      </w:pPr>
      <w:r w:rsidRPr="00694CC7">
        <w:rPr>
          <w:rFonts w:eastAsia="Calibri"/>
          <w:lang w:val="es-MX"/>
        </w:rPr>
        <w:t>La condición de la persona protegida mejora y el juez da por terminada la curatela.</w:t>
      </w:r>
    </w:p>
    <w:p w14:paraId="0C391444" w14:textId="77777777" w:rsidR="009242A0" w:rsidRPr="00694CC7" w:rsidRDefault="009242A0" w:rsidP="00343D1F">
      <w:pPr>
        <w:jc w:val="both"/>
        <w:rPr>
          <w:lang w:val="es-MX"/>
        </w:rPr>
      </w:pPr>
    </w:p>
    <w:p w14:paraId="613E58B8" w14:textId="34C3FD2B" w:rsidR="006E3999" w:rsidRPr="00694CC7" w:rsidRDefault="006E3999" w:rsidP="00343D1F">
      <w:pPr>
        <w:jc w:val="both"/>
        <w:rPr>
          <w:lang w:val="es-MX"/>
        </w:rPr>
      </w:pPr>
      <w:r w:rsidRPr="00694CC7">
        <w:rPr>
          <w:lang w:val="es-MX"/>
        </w:rPr>
        <w:t xml:space="preserve">Es recomendable revisar tanto el formulario del inventario del curador como el informe del curador inmediatamente después de que el juez lo designe como tal, a fin de que sepa qué información necesita recopilar y de qué datos debe llevar un control. Tenga en cuenta que la ley exige que los curadores conserven todos los registros financieros durante siete años. </w:t>
      </w:r>
    </w:p>
    <w:p w14:paraId="7541B495" w14:textId="74B99E1A" w:rsidR="005B0482" w:rsidRPr="00694CC7" w:rsidRDefault="005B0482" w:rsidP="00343D1F">
      <w:pPr>
        <w:jc w:val="both"/>
        <w:rPr>
          <w:lang w:val="es-MX"/>
        </w:rPr>
      </w:pPr>
    </w:p>
    <w:p w14:paraId="166D4CC4" w14:textId="33C34212" w:rsidR="0034628A" w:rsidRPr="00694CC7" w:rsidRDefault="00B41FC4" w:rsidP="00343D1F">
      <w:pPr>
        <w:jc w:val="both"/>
        <w:rPr>
          <w:color w:val="000000" w:themeColor="text1"/>
          <w:lang w:val="es-MX"/>
        </w:rPr>
      </w:pPr>
      <w:r w:rsidRPr="00694CC7">
        <w:rPr>
          <w:lang w:val="es-MX"/>
        </w:rPr>
        <w:t xml:space="preserve">Usted es responsable de llevar un control de las fechas en </w:t>
      </w:r>
      <w:r w:rsidR="00A73208" w:rsidRPr="00694CC7">
        <w:rPr>
          <w:lang w:val="es-MX"/>
        </w:rPr>
        <w:t xml:space="preserve">las </w:t>
      </w:r>
      <w:r w:rsidRPr="00694CC7">
        <w:rPr>
          <w:lang w:val="es-MX"/>
        </w:rPr>
        <w:t xml:space="preserve">que debe presentar sus informes y de obtener los formularios del informe en blanco en el tribunal o en línea. El tribunal no le enviará recordatorios ni formularios para llenarlos. Puede encontrar el formulario del inventario </w:t>
      </w:r>
      <w:r w:rsidRPr="00694CC7">
        <w:rPr>
          <w:lang w:val="es-MX"/>
        </w:rPr>
        <w:lastRenderedPageBreak/>
        <w:t xml:space="preserve">del curador y el informe del curador en el sitio web del Tribunal de Nuevo México </w:t>
      </w:r>
      <w:r w:rsidRPr="00694CC7">
        <w:rPr>
          <w:color w:val="000000" w:themeColor="text1"/>
          <w:lang w:val="es-MX"/>
        </w:rPr>
        <w:t xml:space="preserve">en </w:t>
      </w:r>
      <w:hyperlink r:id="rId8" w:history="1">
        <w:r w:rsidRPr="00694CC7">
          <w:rPr>
            <w:rStyle w:val="Hyperlink"/>
            <w:color w:val="000000" w:themeColor="text1"/>
            <w:lang w:val="es-MX"/>
          </w:rPr>
          <w:t>AdultGuardianship.NMCourts.gov</w:t>
        </w:r>
      </w:hyperlink>
      <w:r w:rsidRPr="00694CC7">
        <w:rPr>
          <w:color w:val="000000" w:themeColor="text1"/>
          <w:u w:val="single"/>
          <w:lang w:val="es-MX"/>
        </w:rPr>
        <w:t>.</w:t>
      </w:r>
      <w:r w:rsidRPr="00694CC7">
        <w:rPr>
          <w:color w:val="000000" w:themeColor="text1"/>
          <w:lang w:val="es-MX"/>
        </w:rPr>
        <w:t xml:space="preserve"> </w:t>
      </w:r>
    </w:p>
    <w:p w14:paraId="3980D574" w14:textId="77777777" w:rsidR="0034628A" w:rsidRPr="00694CC7" w:rsidRDefault="0034628A" w:rsidP="00343D1F">
      <w:pPr>
        <w:jc w:val="both"/>
        <w:rPr>
          <w:color w:val="000000" w:themeColor="text1"/>
          <w:lang w:val="es-MX"/>
        </w:rPr>
      </w:pPr>
    </w:p>
    <w:p w14:paraId="0224F09D" w14:textId="262344A6" w:rsidR="00C51140" w:rsidRPr="00694CC7" w:rsidRDefault="001927B4" w:rsidP="00343D1F">
      <w:pPr>
        <w:jc w:val="both"/>
        <w:rPr>
          <w:lang w:val="es-MX"/>
        </w:rPr>
      </w:pPr>
      <w:r w:rsidRPr="00694CC7">
        <w:rPr>
          <w:lang w:val="es-MX"/>
        </w:rPr>
        <w:t>Puede descargarlos y llenar</w:t>
      </w:r>
      <w:r w:rsidR="00AC0A48" w:rsidRPr="00694CC7">
        <w:rPr>
          <w:lang w:val="es-MX"/>
        </w:rPr>
        <w:t>l</w:t>
      </w:r>
      <w:r w:rsidRPr="00694CC7">
        <w:rPr>
          <w:lang w:val="es-MX"/>
        </w:rPr>
        <w:t xml:space="preserve">os con Acrobat o Acrobat Reader, o imprimirlos y llenarlos a mano. Si una pregunta requiere una respuesta detallada, o si no tiene suficiente espacio para la información, puede adjuntar hojas adicionales. Si algún punto no aplica a su situación, asegúrese de escribir </w:t>
      </w:r>
      <w:r w:rsidR="00343D1F" w:rsidRPr="00694CC7">
        <w:rPr>
          <w:lang w:val="es-MX"/>
        </w:rPr>
        <w:t>“</w:t>
      </w:r>
      <w:r w:rsidRPr="00694CC7">
        <w:rPr>
          <w:lang w:val="es-MX"/>
        </w:rPr>
        <w:t>0</w:t>
      </w:r>
      <w:r w:rsidR="00343D1F" w:rsidRPr="00694CC7">
        <w:rPr>
          <w:lang w:val="es-MX"/>
        </w:rPr>
        <w:t>”</w:t>
      </w:r>
      <w:r w:rsidRPr="00694CC7">
        <w:rPr>
          <w:lang w:val="es-MX"/>
        </w:rPr>
        <w:t xml:space="preserve"> en lugar de dejarlo en blanco. </w:t>
      </w:r>
    </w:p>
    <w:p w14:paraId="7BD54DEF" w14:textId="77777777" w:rsidR="00384C56" w:rsidRPr="00694CC7" w:rsidRDefault="00384C56" w:rsidP="00343D1F">
      <w:pPr>
        <w:jc w:val="both"/>
        <w:rPr>
          <w:lang w:val="es-MX"/>
        </w:rPr>
      </w:pPr>
    </w:p>
    <w:p w14:paraId="002E9BA0" w14:textId="1D0FCB55" w:rsidR="007C6B10" w:rsidRPr="00694CC7" w:rsidRDefault="007C6B10" w:rsidP="00343D1F">
      <w:pPr>
        <w:jc w:val="both"/>
        <w:rPr>
          <w:lang w:val="es-MX"/>
        </w:rPr>
      </w:pPr>
      <w:r w:rsidRPr="00694CC7">
        <w:rPr>
          <w:lang w:val="es-MX"/>
        </w:rPr>
        <w:t>El tribunal toma estos informes muy en serio y espera de usted lo siguiente:</w:t>
      </w:r>
    </w:p>
    <w:p w14:paraId="1714F39D" w14:textId="77777777" w:rsidR="007C6B10" w:rsidRPr="00694CC7" w:rsidRDefault="007C6B10" w:rsidP="00343D1F">
      <w:pPr>
        <w:jc w:val="both"/>
        <w:rPr>
          <w:lang w:val="es-MX"/>
        </w:rPr>
      </w:pPr>
    </w:p>
    <w:p w14:paraId="2B207201" w14:textId="3D4B8597" w:rsidR="00C00483" w:rsidRPr="00694CC7" w:rsidRDefault="00C02C45" w:rsidP="00343D1F">
      <w:pPr>
        <w:pStyle w:val="ListParagraph"/>
        <w:numPr>
          <w:ilvl w:val="0"/>
          <w:numId w:val="5"/>
        </w:numPr>
        <w:jc w:val="both"/>
        <w:rPr>
          <w:color w:val="000000" w:themeColor="text1"/>
        </w:rPr>
      </w:pPr>
      <w:r w:rsidRPr="00694CC7">
        <w:rPr>
          <w:color w:val="000000" w:themeColor="text1"/>
          <w:lang w:val="es-MX"/>
        </w:rPr>
        <w:t xml:space="preserve">Debe presentar sus informes a tiempo y responder completamente todas las preguntas. Llene todos los espacios en blanco. </w:t>
      </w:r>
    </w:p>
    <w:p w14:paraId="7F4D84F6" w14:textId="59218C22" w:rsidR="00C00483" w:rsidRPr="00694CC7" w:rsidRDefault="00C02C45" w:rsidP="00343D1F">
      <w:pPr>
        <w:pStyle w:val="ListParagraph"/>
        <w:numPr>
          <w:ilvl w:val="0"/>
          <w:numId w:val="5"/>
        </w:numPr>
        <w:jc w:val="both"/>
        <w:rPr>
          <w:color w:val="000000" w:themeColor="text1"/>
          <w:lang w:val="es-MX"/>
        </w:rPr>
      </w:pPr>
      <w:r w:rsidRPr="00694CC7">
        <w:rPr>
          <w:color w:val="000000" w:themeColor="text1"/>
          <w:lang w:val="es-MX"/>
        </w:rPr>
        <w:t xml:space="preserve">Si es necesario, utilice hojas adicionales para responder completamente las preguntas. </w:t>
      </w:r>
    </w:p>
    <w:p w14:paraId="72B51B65" w14:textId="554F7A31" w:rsidR="00C00483" w:rsidRPr="00694CC7" w:rsidRDefault="00C00483" w:rsidP="00343D1F">
      <w:pPr>
        <w:pStyle w:val="ListParagraph"/>
        <w:numPr>
          <w:ilvl w:val="0"/>
          <w:numId w:val="5"/>
        </w:numPr>
        <w:jc w:val="both"/>
        <w:rPr>
          <w:color w:val="000000" w:themeColor="text1"/>
          <w:lang w:val="es-MX"/>
        </w:rPr>
      </w:pPr>
      <w:r w:rsidRPr="00694CC7">
        <w:rPr>
          <w:color w:val="000000" w:themeColor="text1"/>
          <w:lang w:val="es-MX"/>
        </w:rPr>
        <w:t>Firme, presente y distribuya los informes.</w:t>
      </w:r>
    </w:p>
    <w:p w14:paraId="41977E3C" w14:textId="1F28BD07" w:rsidR="00C00483" w:rsidRPr="00694CC7" w:rsidRDefault="00C00483" w:rsidP="00343D1F">
      <w:pPr>
        <w:pStyle w:val="ListParagraph"/>
        <w:numPr>
          <w:ilvl w:val="0"/>
          <w:numId w:val="5"/>
        </w:numPr>
        <w:jc w:val="both"/>
        <w:rPr>
          <w:color w:val="000000" w:themeColor="text1"/>
          <w:lang w:val="es-MX"/>
        </w:rPr>
      </w:pPr>
      <w:r w:rsidRPr="00694CC7">
        <w:rPr>
          <w:color w:val="000000" w:themeColor="text1"/>
          <w:lang w:val="es-MX"/>
        </w:rPr>
        <w:t xml:space="preserve">Realice cualquier cambio o resuelva cualquier problema que el juez le pida. </w:t>
      </w:r>
    </w:p>
    <w:p w14:paraId="7C0F86D2" w14:textId="3390761E" w:rsidR="00C00483" w:rsidRPr="00694CC7" w:rsidRDefault="00C00483" w:rsidP="00343D1F">
      <w:pPr>
        <w:pStyle w:val="ListParagraph"/>
        <w:numPr>
          <w:ilvl w:val="0"/>
          <w:numId w:val="5"/>
        </w:numPr>
        <w:jc w:val="both"/>
        <w:rPr>
          <w:color w:val="000000" w:themeColor="text1"/>
          <w:lang w:val="es-MX"/>
        </w:rPr>
      </w:pPr>
      <w:r w:rsidRPr="00694CC7">
        <w:rPr>
          <w:color w:val="000000" w:themeColor="text1"/>
          <w:lang w:val="es-MX"/>
        </w:rPr>
        <w:t xml:space="preserve">Y, sobre todo, mantenga la confidencialidad de la información de estos informes. </w:t>
      </w:r>
    </w:p>
    <w:p w14:paraId="7DF6E4E6" w14:textId="77777777" w:rsidR="00C00483" w:rsidRPr="00694CC7" w:rsidRDefault="00C00483" w:rsidP="00343D1F">
      <w:pPr>
        <w:jc w:val="both"/>
        <w:rPr>
          <w:lang w:val="es-MX"/>
        </w:rPr>
      </w:pPr>
    </w:p>
    <w:p w14:paraId="4FCF0831" w14:textId="79C81EAC" w:rsidR="00C00483" w:rsidRPr="00694CC7" w:rsidRDefault="00C00483" w:rsidP="00343D1F">
      <w:pPr>
        <w:jc w:val="both"/>
        <w:rPr>
          <w:color w:val="000000" w:themeColor="text1"/>
          <w:lang w:val="es-MX"/>
        </w:rPr>
      </w:pPr>
      <w:r w:rsidRPr="00694CC7">
        <w:rPr>
          <w:color w:val="000000" w:themeColor="text1"/>
          <w:lang w:val="es-MX"/>
        </w:rPr>
        <w:t>Si no cumple con cualquiera de estas cosas, el juez le pedirá que explique su incumplimiento, posiblemente en una audiencia. También puede ser multado personalmente con $25 diarios por cada día que se retrase en la presentación del informe.</w:t>
      </w:r>
    </w:p>
    <w:p w14:paraId="0D4D9D68" w14:textId="475917B6" w:rsidR="004C292A" w:rsidRPr="00694CC7" w:rsidRDefault="004C292A" w:rsidP="00343D1F">
      <w:pPr>
        <w:spacing w:line="276" w:lineRule="auto"/>
        <w:jc w:val="both"/>
        <w:rPr>
          <w:color w:val="000000" w:themeColor="text1"/>
          <w:lang w:val="es-MX"/>
        </w:rPr>
      </w:pPr>
    </w:p>
    <w:p w14:paraId="6374C1D8" w14:textId="77777777" w:rsidR="004C292A" w:rsidRPr="00694CC7" w:rsidRDefault="004C292A" w:rsidP="00343D1F">
      <w:pPr>
        <w:jc w:val="both"/>
        <w:rPr>
          <w:b/>
          <w:bCs/>
          <w:iCs/>
          <w:lang w:val="es-MX"/>
        </w:rPr>
      </w:pPr>
      <w:r w:rsidRPr="00694CC7">
        <w:rPr>
          <w:b/>
          <w:bCs/>
          <w:lang w:val="es-MX"/>
        </w:rPr>
        <w:t>FIANZA</w:t>
      </w:r>
    </w:p>
    <w:p w14:paraId="7D54423F" w14:textId="77777777" w:rsidR="0034628A" w:rsidRPr="00694CC7" w:rsidRDefault="0034628A" w:rsidP="00343D1F">
      <w:pPr>
        <w:autoSpaceDE w:val="0"/>
        <w:autoSpaceDN w:val="0"/>
        <w:adjustRightInd w:val="0"/>
        <w:jc w:val="both"/>
        <w:rPr>
          <w:color w:val="1A1A1A"/>
          <w:lang w:val="es-MX"/>
        </w:rPr>
      </w:pPr>
    </w:p>
    <w:p w14:paraId="3CF444C5" w14:textId="1D55BD84" w:rsidR="004C292A" w:rsidRPr="00694CC7" w:rsidRDefault="004C292A" w:rsidP="00343D1F">
      <w:pPr>
        <w:autoSpaceDE w:val="0"/>
        <w:autoSpaceDN w:val="0"/>
        <w:adjustRightInd w:val="0"/>
        <w:jc w:val="both"/>
        <w:rPr>
          <w:color w:val="1A1A1A"/>
          <w:lang w:val="es-MX"/>
        </w:rPr>
      </w:pPr>
      <w:r w:rsidRPr="00694CC7">
        <w:rPr>
          <w:color w:val="1A1A1A"/>
          <w:lang w:val="es-MX"/>
        </w:rPr>
        <w:t xml:space="preserve">Todos los curadores están obligados a depositar una fianza (garantía) a menos que el tribunal apruebe otro acuerdo para la protección de activos. Si el patrimonio de la persona protegida es pequeño o no tiene fondos suficientes para pagar una fianza, el tribunal puede exentar este requisito ya que los activos que necesitan protección son limitados. </w:t>
      </w:r>
    </w:p>
    <w:p w14:paraId="540E7616" w14:textId="77777777" w:rsidR="004C292A" w:rsidRPr="00694CC7" w:rsidRDefault="004C292A" w:rsidP="00343D1F">
      <w:pPr>
        <w:autoSpaceDE w:val="0"/>
        <w:autoSpaceDN w:val="0"/>
        <w:adjustRightInd w:val="0"/>
        <w:jc w:val="both"/>
        <w:rPr>
          <w:color w:val="1A1A1A"/>
          <w:lang w:val="es-MX"/>
        </w:rPr>
      </w:pPr>
    </w:p>
    <w:p w14:paraId="7DA92E6D" w14:textId="54052C73" w:rsidR="004C292A" w:rsidRPr="00694CC7" w:rsidRDefault="004C292A" w:rsidP="00343D1F">
      <w:pPr>
        <w:autoSpaceDE w:val="0"/>
        <w:autoSpaceDN w:val="0"/>
        <w:adjustRightInd w:val="0"/>
        <w:jc w:val="both"/>
        <w:rPr>
          <w:color w:val="1A1A1A"/>
          <w:lang w:val="es-MX"/>
        </w:rPr>
      </w:pPr>
      <w:r w:rsidRPr="00694CC7">
        <w:rPr>
          <w:color w:val="1A1A1A"/>
          <w:lang w:val="es-MX"/>
        </w:rPr>
        <w:t>La mayoría de las principales compañías de seguros ofrecen fianzas. Puede solicitar una cotización a cualquier compañía que ofrezca seguros de automóvil o de vivienda. Se recomienda</w:t>
      </w:r>
      <w:r w:rsidRPr="00694CC7">
        <w:rPr>
          <w:i/>
          <w:iCs/>
          <w:color w:val="1A1A1A"/>
          <w:lang w:val="es-MX"/>
        </w:rPr>
        <w:t xml:space="preserve"> ampliamente</w:t>
      </w:r>
      <w:r w:rsidRPr="00694CC7">
        <w:rPr>
          <w:color w:val="1A1A1A"/>
          <w:lang w:val="es-MX"/>
        </w:rPr>
        <w:t xml:space="preserve"> que compare precios para obtener la mejor </w:t>
      </w:r>
      <w:r w:rsidR="00AC0A48" w:rsidRPr="00694CC7">
        <w:rPr>
          <w:color w:val="1A1A1A"/>
          <w:lang w:val="es-MX"/>
        </w:rPr>
        <w:t>tarifa</w:t>
      </w:r>
      <w:r w:rsidRPr="00694CC7">
        <w:rPr>
          <w:color w:val="1A1A1A"/>
          <w:lang w:val="es-MX"/>
        </w:rPr>
        <w:t xml:space="preserve"> en una fianza de garantía.</w:t>
      </w:r>
    </w:p>
    <w:p w14:paraId="0E149C21" w14:textId="77777777" w:rsidR="004C292A" w:rsidRPr="00694CC7" w:rsidRDefault="004C292A" w:rsidP="00343D1F">
      <w:pPr>
        <w:autoSpaceDE w:val="0"/>
        <w:autoSpaceDN w:val="0"/>
        <w:adjustRightInd w:val="0"/>
        <w:jc w:val="both"/>
        <w:rPr>
          <w:color w:val="1A1A1A"/>
          <w:lang w:val="es-MX"/>
        </w:rPr>
      </w:pPr>
    </w:p>
    <w:p w14:paraId="3A92F619" w14:textId="58E2ECF5" w:rsidR="004C292A" w:rsidRPr="00694CC7" w:rsidRDefault="004C292A" w:rsidP="00343D1F">
      <w:pPr>
        <w:autoSpaceDE w:val="0"/>
        <w:autoSpaceDN w:val="0"/>
        <w:adjustRightInd w:val="0"/>
        <w:jc w:val="both"/>
        <w:rPr>
          <w:color w:val="1A1A1A"/>
          <w:lang w:val="es-MX"/>
        </w:rPr>
      </w:pPr>
      <w:r w:rsidRPr="00694CC7">
        <w:rPr>
          <w:color w:val="1A1A1A"/>
          <w:lang w:val="es-MX"/>
        </w:rPr>
        <w:t xml:space="preserve">Si está obligado a depositar una fianza, debe comprobarle al tribunal que lo hizo mediante la presentación de dos formularios </w:t>
      </w:r>
      <w:r w:rsidRPr="00694CC7">
        <w:rPr>
          <w:i/>
          <w:iCs/>
          <w:color w:val="1A1A1A"/>
          <w:lang w:val="es-MX"/>
        </w:rPr>
        <w:t>junto con</w:t>
      </w:r>
      <w:r w:rsidRPr="00694CC7">
        <w:rPr>
          <w:color w:val="1A1A1A"/>
          <w:lang w:val="es-MX"/>
        </w:rPr>
        <w:t xml:space="preserve"> el inventario del curador: el </w:t>
      </w:r>
      <w:r w:rsidR="00343D1F" w:rsidRPr="00694CC7">
        <w:rPr>
          <w:color w:val="1A1A1A"/>
          <w:lang w:val="es-MX"/>
        </w:rPr>
        <w:t>“</w:t>
      </w:r>
      <w:r w:rsidRPr="00694CC7">
        <w:rPr>
          <w:color w:val="1A1A1A"/>
          <w:lang w:val="es-MX"/>
        </w:rPr>
        <w:t>Aviso de fianza</w:t>
      </w:r>
      <w:r w:rsidR="00343D1F" w:rsidRPr="00694CC7">
        <w:rPr>
          <w:color w:val="1A1A1A"/>
          <w:lang w:val="es-MX"/>
        </w:rPr>
        <w:t>”</w:t>
      </w:r>
      <w:r w:rsidRPr="00694CC7">
        <w:rPr>
          <w:color w:val="1A1A1A"/>
          <w:lang w:val="es-MX"/>
        </w:rPr>
        <w:t xml:space="preserve">, formulario 4-995, y la </w:t>
      </w:r>
      <w:r w:rsidR="00343D1F" w:rsidRPr="00694CC7">
        <w:rPr>
          <w:color w:val="1A1A1A"/>
          <w:lang w:val="es-MX"/>
        </w:rPr>
        <w:t>“</w:t>
      </w:r>
      <w:r w:rsidRPr="00694CC7">
        <w:rPr>
          <w:color w:val="1A1A1A"/>
          <w:lang w:val="es-MX"/>
        </w:rPr>
        <w:t>Declaración de fianza</w:t>
      </w:r>
      <w:r w:rsidR="00343D1F" w:rsidRPr="00694CC7">
        <w:rPr>
          <w:color w:val="1A1A1A"/>
          <w:lang w:val="es-MX"/>
        </w:rPr>
        <w:t>”</w:t>
      </w:r>
      <w:r w:rsidRPr="00694CC7">
        <w:rPr>
          <w:color w:val="1A1A1A"/>
          <w:lang w:val="es-MX"/>
        </w:rPr>
        <w:t xml:space="preserve">, formulario 4-995.1. </w:t>
      </w:r>
    </w:p>
    <w:p w14:paraId="3909AC46" w14:textId="77777777" w:rsidR="004C292A" w:rsidRPr="00694CC7" w:rsidRDefault="004C292A" w:rsidP="00343D1F">
      <w:pPr>
        <w:autoSpaceDE w:val="0"/>
        <w:autoSpaceDN w:val="0"/>
        <w:adjustRightInd w:val="0"/>
        <w:jc w:val="both"/>
        <w:rPr>
          <w:color w:val="1A1A1A"/>
          <w:lang w:val="es-MX"/>
        </w:rPr>
      </w:pPr>
    </w:p>
    <w:p w14:paraId="5E6715EA" w14:textId="0A91026A" w:rsidR="004C292A" w:rsidRPr="00694CC7" w:rsidRDefault="004C292A" w:rsidP="00343D1F">
      <w:pPr>
        <w:autoSpaceDE w:val="0"/>
        <w:autoSpaceDN w:val="0"/>
        <w:adjustRightInd w:val="0"/>
        <w:jc w:val="both"/>
        <w:rPr>
          <w:i/>
          <w:iCs/>
          <w:color w:val="1A1A1A"/>
          <w:lang w:val="es-MX"/>
        </w:rPr>
      </w:pPr>
      <w:r w:rsidRPr="00694CC7">
        <w:rPr>
          <w:color w:val="1A1A1A"/>
          <w:lang w:val="es-MX"/>
        </w:rPr>
        <w:t xml:space="preserve">Debe comprobar el depósito de la fianza presentando ambos formularios cada vez que presente su informe anual de curador, formulario 4-998. Para obtener información adicional sobre las fianzas, visite el sitio web del tribunal. </w:t>
      </w:r>
    </w:p>
    <w:p w14:paraId="671BDB51" w14:textId="77777777" w:rsidR="00B62C62" w:rsidRPr="00694CC7" w:rsidRDefault="00B62C62" w:rsidP="00343D1F">
      <w:pPr>
        <w:autoSpaceDE w:val="0"/>
        <w:autoSpaceDN w:val="0"/>
        <w:adjustRightInd w:val="0"/>
        <w:jc w:val="both"/>
        <w:rPr>
          <w:i/>
          <w:iCs/>
          <w:color w:val="1A1A1A"/>
          <w:lang w:val="es-MX"/>
        </w:rPr>
      </w:pPr>
    </w:p>
    <w:p w14:paraId="32B990B0" w14:textId="083E7AE4" w:rsidR="00B62C62" w:rsidRPr="00694CC7" w:rsidRDefault="0034628A" w:rsidP="00343D1F">
      <w:pPr>
        <w:autoSpaceDE w:val="0"/>
        <w:autoSpaceDN w:val="0"/>
        <w:adjustRightInd w:val="0"/>
        <w:jc w:val="both"/>
        <w:rPr>
          <w:color w:val="1A1A1A"/>
          <w:lang w:val="es-MX"/>
        </w:rPr>
      </w:pPr>
      <w:r w:rsidRPr="00694CC7">
        <w:rPr>
          <w:color w:val="1A1A1A"/>
          <w:lang w:val="es-MX"/>
        </w:rPr>
        <w:t>Para obtener información más detallada sobre los informes del curador, vea</w:t>
      </w:r>
      <w:r w:rsidR="00B1127F" w:rsidRPr="00694CC7">
        <w:rPr>
          <w:color w:val="1A1A1A"/>
          <w:lang w:val="es-MX"/>
        </w:rPr>
        <w:t xml:space="preserve"> los videos</w:t>
      </w:r>
      <w:r w:rsidR="009642BD" w:rsidRPr="00694CC7">
        <w:rPr>
          <w:i/>
          <w:iCs/>
          <w:color w:val="1A1A1A"/>
          <w:lang w:val="es-MX"/>
        </w:rPr>
        <w:t xml:space="preserve"> “</w:t>
      </w:r>
      <w:r w:rsidRPr="00694CC7">
        <w:rPr>
          <w:i/>
          <w:iCs/>
          <w:color w:val="1A1A1A"/>
          <w:lang w:val="es-MX"/>
        </w:rPr>
        <w:t>Cómo llenar el formulario del inventario del curador</w:t>
      </w:r>
      <w:r w:rsidR="00343D1F" w:rsidRPr="00694CC7">
        <w:rPr>
          <w:i/>
          <w:iCs/>
          <w:color w:val="1A1A1A"/>
          <w:lang w:val="es-MX"/>
        </w:rPr>
        <w:t>”</w:t>
      </w:r>
      <w:r w:rsidRPr="00694CC7">
        <w:rPr>
          <w:i/>
          <w:iCs/>
          <w:color w:val="1A1A1A"/>
          <w:lang w:val="es-MX"/>
        </w:rPr>
        <w:t xml:space="preserve"> y </w:t>
      </w:r>
      <w:r w:rsidR="00343D1F" w:rsidRPr="00694CC7">
        <w:rPr>
          <w:i/>
          <w:iCs/>
          <w:color w:val="1A1A1A"/>
          <w:lang w:val="es-MX"/>
        </w:rPr>
        <w:t>“</w:t>
      </w:r>
      <w:r w:rsidRPr="00694CC7">
        <w:rPr>
          <w:i/>
          <w:iCs/>
          <w:color w:val="1A1A1A"/>
          <w:lang w:val="es-MX"/>
        </w:rPr>
        <w:t>Cómo llenar el informe del curador</w:t>
      </w:r>
      <w:r w:rsidR="00343D1F" w:rsidRPr="00694CC7">
        <w:rPr>
          <w:i/>
          <w:iCs/>
          <w:color w:val="1A1A1A"/>
          <w:lang w:val="es-MX"/>
        </w:rPr>
        <w:t>”</w:t>
      </w:r>
      <w:r w:rsidRPr="00694CC7">
        <w:rPr>
          <w:color w:val="1A1A1A"/>
          <w:lang w:val="es-MX"/>
        </w:rPr>
        <w:t>.</w:t>
      </w:r>
    </w:p>
    <w:p w14:paraId="52A77452" w14:textId="64838B92" w:rsidR="001E1B27" w:rsidRPr="00694CC7" w:rsidRDefault="001E1B27" w:rsidP="00343D1F">
      <w:pPr>
        <w:jc w:val="both"/>
        <w:rPr>
          <w:lang w:val="es-MX"/>
        </w:rPr>
      </w:pPr>
    </w:p>
    <w:p w14:paraId="7AF576B9" w14:textId="77777777" w:rsidR="00253EA5" w:rsidRPr="00694CC7" w:rsidRDefault="00253EA5" w:rsidP="00343D1F">
      <w:pPr>
        <w:jc w:val="both"/>
        <w:rPr>
          <w:lang w:val="es-MX"/>
        </w:rPr>
      </w:pPr>
    </w:p>
    <w:sectPr w:rsidR="00253EA5" w:rsidRPr="00694C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2269D" w14:textId="77777777" w:rsidR="001738D7" w:rsidRDefault="001738D7" w:rsidP="00DC7DBB">
      <w:r>
        <w:separator/>
      </w:r>
    </w:p>
  </w:endnote>
  <w:endnote w:type="continuationSeparator" w:id="0">
    <w:p w14:paraId="0358DEF1" w14:textId="77777777" w:rsidR="001738D7" w:rsidRDefault="001738D7" w:rsidP="00DC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7998"/>
      <w:docPartObj>
        <w:docPartGallery w:val="Page Numbers (Bottom of Page)"/>
        <w:docPartUnique/>
      </w:docPartObj>
    </w:sdtPr>
    <w:sdtEndPr>
      <w:rPr>
        <w:noProof/>
      </w:rPr>
    </w:sdtEndPr>
    <w:sdtContent>
      <w:p w14:paraId="4BF2B6A1" w14:textId="77777777" w:rsidR="00C31BCA" w:rsidRDefault="000E1987">
        <w:pPr>
          <w:pStyle w:val="Footer"/>
          <w:jc w:val="center"/>
        </w:pPr>
        <w:r>
          <w:rPr>
            <w:lang w:val="es-MX"/>
          </w:rPr>
          <w:fldChar w:fldCharType="begin"/>
        </w:r>
        <w:r>
          <w:rPr>
            <w:lang w:val="es-MX"/>
          </w:rPr>
          <w:instrText xml:space="preserve"> PAGE   \* MERGEFORMAT </w:instrText>
        </w:r>
        <w:r>
          <w:rPr>
            <w:lang w:val="es-MX"/>
          </w:rPr>
          <w:fldChar w:fldCharType="separate"/>
        </w:r>
        <w:r w:rsidR="00694CC7">
          <w:rPr>
            <w:noProof/>
            <w:lang w:val="es-MX"/>
          </w:rPr>
          <w:t>2</w:t>
        </w:r>
        <w:r>
          <w:rPr>
            <w:noProof/>
            <w:lang w:val="es-MX"/>
          </w:rPr>
          <w:fldChar w:fldCharType="end"/>
        </w:r>
      </w:p>
    </w:sdtContent>
  </w:sdt>
  <w:p w14:paraId="39551196" w14:textId="77777777" w:rsidR="00C31BCA" w:rsidRDefault="0017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AAA9" w14:textId="77777777" w:rsidR="001738D7" w:rsidRDefault="001738D7" w:rsidP="00DC7DBB">
      <w:r>
        <w:separator/>
      </w:r>
    </w:p>
  </w:footnote>
  <w:footnote w:type="continuationSeparator" w:id="0">
    <w:p w14:paraId="2F0FA499" w14:textId="77777777" w:rsidR="001738D7" w:rsidRDefault="001738D7" w:rsidP="00DC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7745" w14:textId="0C724F15" w:rsidR="00DC5929" w:rsidRPr="00694CC7" w:rsidRDefault="008A49E5" w:rsidP="00694CC7">
    <w:pPr>
      <w:pStyle w:val="Header"/>
      <w:jc w:val="center"/>
      <w:rPr>
        <w:rFonts w:ascii="Times New Roman" w:hAnsi="Times New Roman" w:cs="Times New Roman"/>
        <w:sz w:val="24"/>
        <w:szCs w:val="24"/>
      </w:rPr>
    </w:pPr>
    <w:r w:rsidRPr="00694CC7">
      <w:rPr>
        <w:rFonts w:ascii="Times New Roman" w:hAnsi="Times New Roman" w:cs="Times New Roman"/>
        <w:sz w:val="24"/>
        <w:szCs w:val="24"/>
        <w:lang w:val="es-MX"/>
      </w:rPr>
      <w:t>Descripción general del Tribunal de Nuevo México sobre los informes del curador y los requisitos de fianza.</w:t>
    </w:r>
  </w:p>
  <w:p w14:paraId="18A0933F" w14:textId="77777777" w:rsidR="00DC5929" w:rsidRDefault="00173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1F"/>
    <w:multiLevelType w:val="hybridMultilevel"/>
    <w:tmpl w:val="3B5A50B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4462B36"/>
    <w:multiLevelType w:val="hybridMultilevel"/>
    <w:tmpl w:val="402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2B38"/>
    <w:multiLevelType w:val="hybridMultilevel"/>
    <w:tmpl w:val="9B9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703AE"/>
    <w:multiLevelType w:val="hybridMultilevel"/>
    <w:tmpl w:val="D5BE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173A4"/>
    <w:multiLevelType w:val="hybridMultilevel"/>
    <w:tmpl w:val="3E98A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B7D326A"/>
    <w:multiLevelType w:val="hybridMultilevel"/>
    <w:tmpl w:val="B5A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A6FBC"/>
    <w:multiLevelType w:val="hybridMultilevel"/>
    <w:tmpl w:val="FF7C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66EE3"/>
    <w:multiLevelType w:val="hybridMultilevel"/>
    <w:tmpl w:val="AEB4C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6190156"/>
    <w:multiLevelType w:val="hybridMultilevel"/>
    <w:tmpl w:val="02B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83411"/>
    <w:multiLevelType w:val="hybridMultilevel"/>
    <w:tmpl w:val="5CC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361BC"/>
    <w:multiLevelType w:val="hybridMultilevel"/>
    <w:tmpl w:val="6B46F7AE"/>
    <w:lvl w:ilvl="0" w:tplc="04090001">
      <w:start w:val="1"/>
      <w:numFmt w:val="bullet"/>
      <w:lvlText w:val=""/>
      <w:lvlJc w:val="left"/>
      <w:pPr>
        <w:ind w:left="1494" w:hanging="360"/>
      </w:pPr>
      <w:rPr>
        <w:rFonts w:ascii="Symbol" w:hAnsi="Symbol" w:hint="default"/>
      </w:rPr>
    </w:lvl>
    <w:lvl w:ilvl="1" w:tplc="0409000B">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683517B6"/>
    <w:multiLevelType w:val="hybridMultilevel"/>
    <w:tmpl w:val="3E8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F00DF"/>
    <w:multiLevelType w:val="hybridMultilevel"/>
    <w:tmpl w:val="1DCE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12BBE"/>
    <w:multiLevelType w:val="hybridMultilevel"/>
    <w:tmpl w:val="6714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F4679"/>
    <w:multiLevelType w:val="hybridMultilevel"/>
    <w:tmpl w:val="91B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4"/>
  </w:num>
  <w:num w:numId="5">
    <w:abstractNumId w:val="6"/>
  </w:num>
  <w:num w:numId="6">
    <w:abstractNumId w:val="5"/>
  </w:num>
  <w:num w:numId="7">
    <w:abstractNumId w:val="12"/>
  </w:num>
  <w:num w:numId="8">
    <w:abstractNumId w:val="14"/>
  </w:num>
  <w:num w:numId="9">
    <w:abstractNumId w:val="1"/>
  </w:num>
  <w:num w:numId="10">
    <w:abstractNumId w:val="11"/>
  </w:num>
  <w:num w:numId="11">
    <w:abstractNumId w:val="0"/>
  </w:num>
  <w:num w:numId="12">
    <w:abstractNumId w:val="10"/>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99"/>
    <w:rsid w:val="00021AA2"/>
    <w:rsid w:val="000478B2"/>
    <w:rsid w:val="00051411"/>
    <w:rsid w:val="000624C5"/>
    <w:rsid w:val="00063FC1"/>
    <w:rsid w:val="000672A1"/>
    <w:rsid w:val="0007293D"/>
    <w:rsid w:val="000A655F"/>
    <w:rsid w:val="000A7C42"/>
    <w:rsid w:val="000E00F0"/>
    <w:rsid w:val="000E1987"/>
    <w:rsid w:val="00123EF9"/>
    <w:rsid w:val="00163CFE"/>
    <w:rsid w:val="00172710"/>
    <w:rsid w:val="001738D7"/>
    <w:rsid w:val="00173FED"/>
    <w:rsid w:val="001861B1"/>
    <w:rsid w:val="001920DF"/>
    <w:rsid w:val="001927B4"/>
    <w:rsid w:val="001A0259"/>
    <w:rsid w:val="001A131B"/>
    <w:rsid w:val="001A41C8"/>
    <w:rsid w:val="001B2B28"/>
    <w:rsid w:val="001D1A02"/>
    <w:rsid w:val="001D546B"/>
    <w:rsid w:val="001E1B27"/>
    <w:rsid w:val="00200D38"/>
    <w:rsid w:val="00201675"/>
    <w:rsid w:val="0020384A"/>
    <w:rsid w:val="00253EA5"/>
    <w:rsid w:val="00272528"/>
    <w:rsid w:val="002821D5"/>
    <w:rsid w:val="002A30B9"/>
    <w:rsid w:val="002B3980"/>
    <w:rsid w:val="002C4163"/>
    <w:rsid w:val="002E2E3D"/>
    <w:rsid w:val="002E3573"/>
    <w:rsid w:val="002E4CB8"/>
    <w:rsid w:val="002E5286"/>
    <w:rsid w:val="002F4189"/>
    <w:rsid w:val="0030469B"/>
    <w:rsid w:val="00305332"/>
    <w:rsid w:val="00331CEB"/>
    <w:rsid w:val="00343D1F"/>
    <w:rsid w:val="0034628A"/>
    <w:rsid w:val="00353017"/>
    <w:rsid w:val="00356744"/>
    <w:rsid w:val="00360618"/>
    <w:rsid w:val="00374233"/>
    <w:rsid w:val="00384C56"/>
    <w:rsid w:val="0039042B"/>
    <w:rsid w:val="003A7270"/>
    <w:rsid w:val="003C492F"/>
    <w:rsid w:val="003D2E6D"/>
    <w:rsid w:val="003D6AA6"/>
    <w:rsid w:val="003D7A70"/>
    <w:rsid w:val="003F397B"/>
    <w:rsid w:val="00402530"/>
    <w:rsid w:val="00404D85"/>
    <w:rsid w:val="004218C1"/>
    <w:rsid w:val="004254BD"/>
    <w:rsid w:val="00432456"/>
    <w:rsid w:val="004411B7"/>
    <w:rsid w:val="00451DC6"/>
    <w:rsid w:val="00464BA3"/>
    <w:rsid w:val="004C0939"/>
    <w:rsid w:val="004C292A"/>
    <w:rsid w:val="004C3596"/>
    <w:rsid w:val="004D2E2A"/>
    <w:rsid w:val="005002B1"/>
    <w:rsid w:val="005132D6"/>
    <w:rsid w:val="005238AE"/>
    <w:rsid w:val="00524620"/>
    <w:rsid w:val="00525ED7"/>
    <w:rsid w:val="005320F0"/>
    <w:rsid w:val="00536BC1"/>
    <w:rsid w:val="00547D35"/>
    <w:rsid w:val="00575185"/>
    <w:rsid w:val="005A35C4"/>
    <w:rsid w:val="005A4C5D"/>
    <w:rsid w:val="005A4FB3"/>
    <w:rsid w:val="005B0482"/>
    <w:rsid w:val="005B1EC8"/>
    <w:rsid w:val="005C72A5"/>
    <w:rsid w:val="005D322C"/>
    <w:rsid w:val="005D373A"/>
    <w:rsid w:val="005E1C64"/>
    <w:rsid w:val="005E2059"/>
    <w:rsid w:val="005E2BD0"/>
    <w:rsid w:val="005F1058"/>
    <w:rsid w:val="006004DF"/>
    <w:rsid w:val="00610BB2"/>
    <w:rsid w:val="00634052"/>
    <w:rsid w:val="00666BE7"/>
    <w:rsid w:val="006759C4"/>
    <w:rsid w:val="00675A73"/>
    <w:rsid w:val="0068795C"/>
    <w:rsid w:val="00694CC7"/>
    <w:rsid w:val="006977F8"/>
    <w:rsid w:val="006B6F94"/>
    <w:rsid w:val="006B7BDE"/>
    <w:rsid w:val="006E0F0C"/>
    <w:rsid w:val="006E3999"/>
    <w:rsid w:val="006F2A1A"/>
    <w:rsid w:val="006F574B"/>
    <w:rsid w:val="006F69BC"/>
    <w:rsid w:val="00700F9E"/>
    <w:rsid w:val="007014F3"/>
    <w:rsid w:val="007064D5"/>
    <w:rsid w:val="007104A1"/>
    <w:rsid w:val="00710C3F"/>
    <w:rsid w:val="00715876"/>
    <w:rsid w:val="00730740"/>
    <w:rsid w:val="007326ED"/>
    <w:rsid w:val="00735205"/>
    <w:rsid w:val="007412D3"/>
    <w:rsid w:val="00753DED"/>
    <w:rsid w:val="00754A6B"/>
    <w:rsid w:val="0076536A"/>
    <w:rsid w:val="0077626A"/>
    <w:rsid w:val="007A1341"/>
    <w:rsid w:val="007A5827"/>
    <w:rsid w:val="007B1659"/>
    <w:rsid w:val="007B418B"/>
    <w:rsid w:val="007C0956"/>
    <w:rsid w:val="007C208C"/>
    <w:rsid w:val="007C6B10"/>
    <w:rsid w:val="007D720B"/>
    <w:rsid w:val="007F1B65"/>
    <w:rsid w:val="007F1F95"/>
    <w:rsid w:val="007F258D"/>
    <w:rsid w:val="007F72AF"/>
    <w:rsid w:val="0080065A"/>
    <w:rsid w:val="0081362B"/>
    <w:rsid w:val="008448DE"/>
    <w:rsid w:val="008459BD"/>
    <w:rsid w:val="00853F66"/>
    <w:rsid w:val="00877CF8"/>
    <w:rsid w:val="00882258"/>
    <w:rsid w:val="00893448"/>
    <w:rsid w:val="0089427A"/>
    <w:rsid w:val="008A49E5"/>
    <w:rsid w:val="008A4D8B"/>
    <w:rsid w:val="008C2B3B"/>
    <w:rsid w:val="008C5CB7"/>
    <w:rsid w:val="008C7648"/>
    <w:rsid w:val="008D70EF"/>
    <w:rsid w:val="00917D4C"/>
    <w:rsid w:val="009242A0"/>
    <w:rsid w:val="00924F5D"/>
    <w:rsid w:val="00941601"/>
    <w:rsid w:val="00961505"/>
    <w:rsid w:val="00963943"/>
    <w:rsid w:val="009642BD"/>
    <w:rsid w:val="009651C3"/>
    <w:rsid w:val="00967572"/>
    <w:rsid w:val="0097315D"/>
    <w:rsid w:val="009763ED"/>
    <w:rsid w:val="009A5821"/>
    <w:rsid w:val="009B6121"/>
    <w:rsid w:val="009C2A13"/>
    <w:rsid w:val="009D6352"/>
    <w:rsid w:val="009E3B34"/>
    <w:rsid w:val="00A037E1"/>
    <w:rsid w:val="00A16F98"/>
    <w:rsid w:val="00A3737D"/>
    <w:rsid w:val="00A41D1A"/>
    <w:rsid w:val="00A47864"/>
    <w:rsid w:val="00A576A0"/>
    <w:rsid w:val="00A70425"/>
    <w:rsid w:val="00A73208"/>
    <w:rsid w:val="00AA3AD3"/>
    <w:rsid w:val="00AB3947"/>
    <w:rsid w:val="00AC0A48"/>
    <w:rsid w:val="00AD3143"/>
    <w:rsid w:val="00AD75DF"/>
    <w:rsid w:val="00B05483"/>
    <w:rsid w:val="00B1127F"/>
    <w:rsid w:val="00B22237"/>
    <w:rsid w:val="00B27980"/>
    <w:rsid w:val="00B302D0"/>
    <w:rsid w:val="00B3276E"/>
    <w:rsid w:val="00B35446"/>
    <w:rsid w:val="00B41FC4"/>
    <w:rsid w:val="00B62C62"/>
    <w:rsid w:val="00B630FF"/>
    <w:rsid w:val="00B8247D"/>
    <w:rsid w:val="00B82935"/>
    <w:rsid w:val="00B94A27"/>
    <w:rsid w:val="00BA3DEA"/>
    <w:rsid w:val="00BB0080"/>
    <w:rsid w:val="00BB0F76"/>
    <w:rsid w:val="00BB6367"/>
    <w:rsid w:val="00BD489A"/>
    <w:rsid w:val="00C00483"/>
    <w:rsid w:val="00C02528"/>
    <w:rsid w:val="00C02C45"/>
    <w:rsid w:val="00C03B1C"/>
    <w:rsid w:val="00C03F71"/>
    <w:rsid w:val="00C111BC"/>
    <w:rsid w:val="00C13DA7"/>
    <w:rsid w:val="00C20A42"/>
    <w:rsid w:val="00C34067"/>
    <w:rsid w:val="00C51140"/>
    <w:rsid w:val="00C7225F"/>
    <w:rsid w:val="00C73FF4"/>
    <w:rsid w:val="00C978AA"/>
    <w:rsid w:val="00CA5443"/>
    <w:rsid w:val="00CA6102"/>
    <w:rsid w:val="00CA6D57"/>
    <w:rsid w:val="00CC2983"/>
    <w:rsid w:val="00CE43AD"/>
    <w:rsid w:val="00D07BBC"/>
    <w:rsid w:val="00D23C57"/>
    <w:rsid w:val="00D544FC"/>
    <w:rsid w:val="00D558FB"/>
    <w:rsid w:val="00D56198"/>
    <w:rsid w:val="00D803C7"/>
    <w:rsid w:val="00D812ED"/>
    <w:rsid w:val="00D81859"/>
    <w:rsid w:val="00D86A98"/>
    <w:rsid w:val="00D87A89"/>
    <w:rsid w:val="00DB6576"/>
    <w:rsid w:val="00DC7DBB"/>
    <w:rsid w:val="00DD68FC"/>
    <w:rsid w:val="00DE3484"/>
    <w:rsid w:val="00DE744D"/>
    <w:rsid w:val="00DF34C5"/>
    <w:rsid w:val="00E06431"/>
    <w:rsid w:val="00E157C3"/>
    <w:rsid w:val="00E2020A"/>
    <w:rsid w:val="00E44CD9"/>
    <w:rsid w:val="00E47416"/>
    <w:rsid w:val="00E72800"/>
    <w:rsid w:val="00E75463"/>
    <w:rsid w:val="00E75BA5"/>
    <w:rsid w:val="00E82B30"/>
    <w:rsid w:val="00E82C3D"/>
    <w:rsid w:val="00EA07F8"/>
    <w:rsid w:val="00EA3B56"/>
    <w:rsid w:val="00EB1B32"/>
    <w:rsid w:val="00EE7850"/>
    <w:rsid w:val="00EE7D58"/>
    <w:rsid w:val="00F06DE3"/>
    <w:rsid w:val="00F160C2"/>
    <w:rsid w:val="00F32D23"/>
    <w:rsid w:val="00F400CE"/>
    <w:rsid w:val="00F426B9"/>
    <w:rsid w:val="00F431C1"/>
    <w:rsid w:val="00F53416"/>
    <w:rsid w:val="00F647F3"/>
    <w:rsid w:val="00F67F42"/>
    <w:rsid w:val="00F70889"/>
    <w:rsid w:val="00F73292"/>
    <w:rsid w:val="00F75C07"/>
    <w:rsid w:val="00FD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9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E3999"/>
    <w:rPr>
      <w:rFonts w:asciiTheme="minorHAnsi" w:hAnsiTheme="minorHAnsi" w:cstheme="minorBidi"/>
      <w:sz w:val="22"/>
      <w:szCs w:val="22"/>
    </w:rPr>
  </w:style>
  <w:style w:type="paragraph" w:styleId="Footer">
    <w:name w:val="footer"/>
    <w:basedOn w:val="Normal"/>
    <w:link w:val="FooterChar"/>
    <w:uiPriority w:val="99"/>
    <w:unhideWhenUsed/>
    <w:rsid w:val="006E399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E3999"/>
    <w:rPr>
      <w:rFonts w:asciiTheme="minorHAnsi" w:hAnsiTheme="minorHAnsi" w:cstheme="minorBidi"/>
      <w:sz w:val="22"/>
      <w:szCs w:val="22"/>
    </w:rPr>
  </w:style>
  <w:style w:type="paragraph" w:styleId="ListParagraph">
    <w:name w:val="List Paragraph"/>
    <w:basedOn w:val="Normal"/>
    <w:uiPriority w:val="34"/>
    <w:qFormat/>
    <w:rsid w:val="00D07BBC"/>
    <w:pPr>
      <w:ind w:left="720"/>
      <w:contextualSpacing/>
    </w:pPr>
  </w:style>
  <w:style w:type="character" w:styleId="Hyperlink">
    <w:name w:val="Hyperlink"/>
    <w:basedOn w:val="DefaultParagraphFont"/>
    <w:uiPriority w:val="99"/>
    <w:unhideWhenUsed/>
    <w:rsid w:val="00C51140"/>
    <w:rPr>
      <w:color w:val="0563C1" w:themeColor="hyperlink"/>
      <w:u w:val="single"/>
    </w:rPr>
  </w:style>
  <w:style w:type="character" w:customStyle="1" w:styleId="UnresolvedMention1">
    <w:name w:val="Unresolved Mention1"/>
    <w:basedOn w:val="DefaultParagraphFont"/>
    <w:uiPriority w:val="99"/>
    <w:semiHidden/>
    <w:unhideWhenUsed/>
    <w:rsid w:val="00C51140"/>
    <w:rPr>
      <w:color w:val="605E5C"/>
      <w:shd w:val="clear" w:color="auto" w:fill="E1DFDD"/>
    </w:rPr>
  </w:style>
  <w:style w:type="paragraph" w:styleId="BalloonText">
    <w:name w:val="Balloon Text"/>
    <w:basedOn w:val="Normal"/>
    <w:link w:val="BalloonTextChar"/>
    <w:uiPriority w:val="99"/>
    <w:semiHidden/>
    <w:unhideWhenUsed/>
    <w:rsid w:val="001D546B"/>
    <w:rPr>
      <w:rFonts w:ascii="Tahoma" w:hAnsi="Tahoma" w:cs="Tahoma"/>
      <w:sz w:val="16"/>
      <w:szCs w:val="16"/>
    </w:rPr>
  </w:style>
  <w:style w:type="character" w:customStyle="1" w:styleId="BalloonTextChar">
    <w:name w:val="Balloon Text Char"/>
    <w:basedOn w:val="DefaultParagraphFont"/>
    <w:link w:val="BalloonText"/>
    <w:uiPriority w:val="99"/>
    <w:semiHidden/>
    <w:rsid w:val="001D546B"/>
    <w:rPr>
      <w:rFonts w:ascii="Tahoma" w:hAnsi="Tahoma" w:cs="Tahoma"/>
      <w:sz w:val="16"/>
      <w:szCs w:val="16"/>
    </w:rPr>
  </w:style>
  <w:style w:type="character" w:styleId="CommentReference">
    <w:name w:val="annotation reference"/>
    <w:basedOn w:val="DefaultParagraphFont"/>
    <w:uiPriority w:val="99"/>
    <w:semiHidden/>
    <w:unhideWhenUsed/>
    <w:rsid w:val="00E47416"/>
    <w:rPr>
      <w:sz w:val="16"/>
      <w:szCs w:val="16"/>
    </w:rPr>
  </w:style>
  <w:style w:type="paragraph" w:styleId="CommentText">
    <w:name w:val="annotation text"/>
    <w:basedOn w:val="Normal"/>
    <w:link w:val="CommentTextChar"/>
    <w:uiPriority w:val="99"/>
    <w:semiHidden/>
    <w:unhideWhenUsed/>
    <w:rsid w:val="00E47416"/>
    <w:rPr>
      <w:sz w:val="20"/>
      <w:szCs w:val="20"/>
    </w:rPr>
  </w:style>
  <w:style w:type="character" w:customStyle="1" w:styleId="CommentTextChar">
    <w:name w:val="Comment Text Char"/>
    <w:basedOn w:val="DefaultParagraphFont"/>
    <w:link w:val="CommentText"/>
    <w:uiPriority w:val="99"/>
    <w:semiHidden/>
    <w:rsid w:val="00E47416"/>
    <w:rPr>
      <w:sz w:val="20"/>
      <w:szCs w:val="20"/>
    </w:rPr>
  </w:style>
  <w:style w:type="paragraph" w:styleId="CommentSubject">
    <w:name w:val="annotation subject"/>
    <w:basedOn w:val="CommentText"/>
    <w:next w:val="CommentText"/>
    <w:link w:val="CommentSubjectChar"/>
    <w:uiPriority w:val="99"/>
    <w:semiHidden/>
    <w:unhideWhenUsed/>
    <w:rsid w:val="00E47416"/>
    <w:rPr>
      <w:b/>
      <w:bCs/>
    </w:rPr>
  </w:style>
  <w:style w:type="character" w:customStyle="1" w:styleId="CommentSubjectChar">
    <w:name w:val="Comment Subject Char"/>
    <w:basedOn w:val="CommentTextChar"/>
    <w:link w:val="CommentSubject"/>
    <w:uiPriority w:val="99"/>
    <w:semiHidden/>
    <w:rsid w:val="00E47416"/>
    <w:rPr>
      <w:b/>
      <w:bCs/>
      <w:sz w:val="20"/>
      <w:szCs w:val="20"/>
    </w:rPr>
  </w:style>
  <w:style w:type="character" w:styleId="FollowedHyperlink">
    <w:name w:val="FollowedHyperlink"/>
    <w:basedOn w:val="DefaultParagraphFont"/>
    <w:uiPriority w:val="99"/>
    <w:semiHidden/>
    <w:unhideWhenUsed/>
    <w:rsid w:val="00EE7850"/>
    <w:rPr>
      <w:color w:val="954F72" w:themeColor="followedHyperlink"/>
      <w:u w:val="single"/>
    </w:rPr>
  </w:style>
  <w:style w:type="paragraph" w:styleId="Revision">
    <w:name w:val="Revision"/>
    <w:hidden/>
    <w:uiPriority w:val="99"/>
    <w:semiHidden/>
    <w:rsid w:val="003D2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9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E3999"/>
    <w:rPr>
      <w:rFonts w:asciiTheme="minorHAnsi" w:hAnsiTheme="minorHAnsi" w:cstheme="minorBidi"/>
      <w:sz w:val="22"/>
      <w:szCs w:val="22"/>
    </w:rPr>
  </w:style>
  <w:style w:type="paragraph" w:styleId="Footer">
    <w:name w:val="footer"/>
    <w:basedOn w:val="Normal"/>
    <w:link w:val="FooterChar"/>
    <w:uiPriority w:val="99"/>
    <w:unhideWhenUsed/>
    <w:rsid w:val="006E399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E3999"/>
    <w:rPr>
      <w:rFonts w:asciiTheme="minorHAnsi" w:hAnsiTheme="minorHAnsi" w:cstheme="minorBidi"/>
      <w:sz w:val="22"/>
      <w:szCs w:val="22"/>
    </w:rPr>
  </w:style>
  <w:style w:type="paragraph" w:styleId="ListParagraph">
    <w:name w:val="List Paragraph"/>
    <w:basedOn w:val="Normal"/>
    <w:uiPriority w:val="34"/>
    <w:qFormat/>
    <w:rsid w:val="00D07BBC"/>
    <w:pPr>
      <w:ind w:left="720"/>
      <w:contextualSpacing/>
    </w:pPr>
  </w:style>
  <w:style w:type="character" w:styleId="Hyperlink">
    <w:name w:val="Hyperlink"/>
    <w:basedOn w:val="DefaultParagraphFont"/>
    <w:uiPriority w:val="99"/>
    <w:unhideWhenUsed/>
    <w:rsid w:val="00C51140"/>
    <w:rPr>
      <w:color w:val="0563C1" w:themeColor="hyperlink"/>
      <w:u w:val="single"/>
    </w:rPr>
  </w:style>
  <w:style w:type="character" w:customStyle="1" w:styleId="UnresolvedMention1">
    <w:name w:val="Unresolved Mention1"/>
    <w:basedOn w:val="DefaultParagraphFont"/>
    <w:uiPriority w:val="99"/>
    <w:semiHidden/>
    <w:unhideWhenUsed/>
    <w:rsid w:val="00C51140"/>
    <w:rPr>
      <w:color w:val="605E5C"/>
      <w:shd w:val="clear" w:color="auto" w:fill="E1DFDD"/>
    </w:rPr>
  </w:style>
  <w:style w:type="paragraph" w:styleId="BalloonText">
    <w:name w:val="Balloon Text"/>
    <w:basedOn w:val="Normal"/>
    <w:link w:val="BalloonTextChar"/>
    <w:uiPriority w:val="99"/>
    <w:semiHidden/>
    <w:unhideWhenUsed/>
    <w:rsid w:val="001D546B"/>
    <w:rPr>
      <w:rFonts w:ascii="Tahoma" w:hAnsi="Tahoma" w:cs="Tahoma"/>
      <w:sz w:val="16"/>
      <w:szCs w:val="16"/>
    </w:rPr>
  </w:style>
  <w:style w:type="character" w:customStyle="1" w:styleId="BalloonTextChar">
    <w:name w:val="Balloon Text Char"/>
    <w:basedOn w:val="DefaultParagraphFont"/>
    <w:link w:val="BalloonText"/>
    <w:uiPriority w:val="99"/>
    <w:semiHidden/>
    <w:rsid w:val="001D546B"/>
    <w:rPr>
      <w:rFonts w:ascii="Tahoma" w:hAnsi="Tahoma" w:cs="Tahoma"/>
      <w:sz w:val="16"/>
      <w:szCs w:val="16"/>
    </w:rPr>
  </w:style>
  <w:style w:type="character" w:styleId="CommentReference">
    <w:name w:val="annotation reference"/>
    <w:basedOn w:val="DefaultParagraphFont"/>
    <w:uiPriority w:val="99"/>
    <w:semiHidden/>
    <w:unhideWhenUsed/>
    <w:rsid w:val="00E47416"/>
    <w:rPr>
      <w:sz w:val="16"/>
      <w:szCs w:val="16"/>
    </w:rPr>
  </w:style>
  <w:style w:type="paragraph" w:styleId="CommentText">
    <w:name w:val="annotation text"/>
    <w:basedOn w:val="Normal"/>
    <w:link w:val="CommentTextChar"/>
    <w:uiPriority w:val="99"/>
    <w:semiHidden/>
    <w:unhideWhenUsed/>
    <w:rsid w:val="00E47416"/>
    <w:rPr>
      <w:sz w:val="20"/>
      <w:szCs w:val="20"/>
    </w:rPr>
  </w:style>
  <w:style w:type="character" w:customStyle="1" w:styleId="CommentTextChar">
    <w:name w:val="Comment Text Char"/>
    <w:basedOn w:val="DefaultParagraphFont"/>
    <w:link w:val="CommentText"/>
    <w:uiPriority w:val="99"/>
    <w:semiHidden/>
    <w:rsid w:val="00E47416"/>
    <w:rPr>
      <w:sz w:val="20"/>
      <w:szCs w:val="20"/>
    </w:rPr>
  </w:style>
  <w:style w:type="paragraph" w:styleId="CommentSubject">
    <w:name w:val="annotation subject"/>
    <w:basedOn w:val="CommentText"/>
    <w:next w:val="CommentText"/>
    <w:link w:val="CommentSubjectChar"/>
    <w:uiPriority w:val="99"/>
    <w:semiHidden/>
    <w:unhideWhenUsed/>
    <w:rsid w:val="00E47416"/>
    <w:rPr>
      <w:b/>
      <w:bCs/>
    </w:rPr>
  </w:style>
  <w:style w:type="character" w:customStyle="1" w:styleId="CommentSubjectChar">
    <w:name w:val="Comment Subject Char"/>
    <w:basedOn w:val="CommentTextChar"/>
    <w:link w:val="CommentSubject"/>
    <w:uiPriority w:val="99"/>
    <w:semiHidden/>
    <w:rsid w:val="00E47416"/>
    <w:rPr>
      <w:b/>
      <w:bCs/>
      <w:sz w:val="20"/>
      <w:szCs w:val="20"/>
    </w:rPr>
  </w:style>
  <w:style w:type="character" w:styleId="FollowedHyperlink">
    <w:name w:val="FollowedHyperlink"/>
    <w:basedOn w:val="DefaultParagraphFont"/>
    <w:uiPriority w:val="99"/>
    <w:semiHidden/>
    <w:unhideWhenUsed/>
    <w:rsid w:val="00EE7850"/>
    <w:rPr>
      <w:color w:val="954F72" w:themeColor="followedHyperlink"/>
      <w:u w:val="single"/>
    </w:rPr>
  </w:style>
  <w:style w:type="paragraph" w:styleId="Revision">
    <w:name w:val="Revision"/>
    <w:hidden/>
    <w:uiPriority w:val="99"/>
    <w:semiHidden/>
    <w:rsid w:val="003D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ltguardianship.nmcourt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Sam Slimp</cp:lastModifiedBy>
  <cp:revision>4</cp:revision>
  <dcterms:created xsi:type="dcterms:W3CDTF">2021-03-19T21:38:00Z</dcterms:created>
  <dcterms:modified xsi:type="dcterms:W3CDTF">2021-03-19T22:07:00Z</dcterms:modified>
</cp:coreProperties>
</file>